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F49" w:rsidRPr="00830D85" w:rsidRDefault="00C84C65" w:rsidP="00065607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bookmarkStart w:id="0" w:name="_GoBack"/>
      <w:r w:rsidRPr="00830D85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A23F49" w:rsidRPr="00830D85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bookmarkEnd w:id="0"/>
      <w:r w:rsidR="00A23F49" w:rsidRPr="00830D85">
        <w:rPr>
          <w:rFonts w:ascii="IRBadr" w:hAnsi="IRBadr" w:cs="IRBadr"/>
          <w:b/>
          <w:bCs/>
          <w:sz w:val="28"/>
          <w:szCs w:val="28"/>
          <w:rtl/>
          <w:lang w:bidi="fa-IR"/>
        </w:rPr>
        <w:t>الرحمن الرحیم</w:t>
      </w:r>
    </w:p>
    <w:p w:rsidR="00065607" w:rsidRPr="00830D85" w:rsidRDefault="00065607" w:rsidP="00065607">
      <w:pPr>
        <w:bidi/>
        <w:jc w:val="both"/>
        <w:rPr>
          <w:rFonts w:ascii="IRBadr" w:hAnsi="IRBadr" w:cs="IRBadr"/>
          <w:noProof/>
        </w:rPr>
      </w:pPr>
      <w:r w:rsidRPr="00830D85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  <w:r w:rsidRPr="00830D85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Pr="00830D85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830D85">
        <w:rPr>
          <w:rFonts w:ascii="IRBadr" w:hAnsi="IRBadr" w:cs="IRBadr"/>
          <w:b/>
          <w:bCs/>
          <w:sz w:val="28"/>
          <w:szCs w:val="28"/>
          <w:lang w:bidi="fa-IR"/>
        </w:rPr>
        <w:instrText>TOC</w:instrText>
      </w:r>
      <w:r w:rsidRPr="00830D85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\</w:instrText>
      </w:r>
      <w:r w:rsidRPr="00830D85">
        <w:rPr>
          <w:rFonts w:ascii="IRBadr" w:hAnsi="IRBadr" w:cs="IRBadr"/>
          <w:b/>
          <w:bCs/>
          <w:sz w:val="28"/>
          <w:szCs w:val="28"/>
          <w:lang w:bidi="fa-IR"/>
        </w:rPr>
        <w:instrText>o "</w:instrText>
      </w:r>
      <w:r w:rsidRPr="00830D85">
        <w:rPr>
          <w:rFonts w:ascii="IRBadr" w:hAnsi="IRBadr" w:cs="IRBadr"/>
          <w:b/>
          <w:bCs/>
          <w:sz w:val="28"/>
          <w:szCs w:val="28"/>
          <w:rtl/>
          <w:lang w:bidi="fa-IR"/>
        </w:rPr>
        <w:instrText>1-4</w:instrText>
      </w:r>
      <w:r w:rsidRPr="00830D85">
        <w:rPr>
          <w:rFonts w:ascii="IRBadr" w:hAnsi="IRBadr" w:cs="IRBadr"/>
          <w:b/>
          <w:bCs/>
          <w:sz w:val="28"/>
          <w:szCs w:val="28"/>
          <w:lang w:bidi="fa-IR"/>
        </w:rPr>
        <w:instrText>" \h \z \u</w:instrText>
      </w:r>
      <w:r w:rsidRPr="00830D85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830D85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</w:p>
    <w:p w:rsidR="00065607" w:rsidRPr="00830D85" w:rsidRDefault="000D4870" w:rsidP="00065607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9459" w:history="1">
        <w:r w:rsidR="00065607" w:rsidRPr="00830D85">
          <w:rPr>
            <w:rStyle w:val="Hyperlink"/>
            <w:rFonts w:ascii="IRBadr" w:hAnsi="IRBadr" w:cs="IRBadr"/>
            <w:noProof/>
            <w:rtl/>
          </w:rPr>
          <w:t>سب النبی (ص)</w:t>
        </w:r>
        <w:r w:rsidR="00065607" w:rsidRPr="00830D85">
          <w:rPr>
            <w:rFonts w:ascii="IRBadr" w:hAnsi="IRBadr" w:cs="IRBadr"/>
            <w:noProof/>
            <w:webHidden/>
          </w:rPr>
          <w:tab/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65607" w:rsidRPr="00830D85">
          <w:rPr>
            <w:rFonts w:ascii="IRBadr" w:hAnsi="IRBadr" w:cs="IRBadr"/>
            <w:noProof/>
            <w:webHidden/>
          </w:rPr>
          <w:instrText xml:space="preserve"> PAGEREF _Toc427449459 \h </w:instrText>
        </w:r>
        <w:r w:rsidR="00065607" w:rsidRPr="00830D85">
          <w:rPr>
            <w:rStyle w:val="Hyperlink"/>
            <w:rFonts w:ascii="IRBadr" w:hAnsi="IRBadr" w:cs="IRBadr"/>
            <w:noProof/>
            <w:rtl/>
          </w:rPr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65607" w:rsidRPr="00830D85">
          <w:rPr>
            <w:rFonts w:ascii="IRBadr" w:hAnsi="IRBadr" w:cs="IRBadr"/>
            <w:noProof/>
            <w:webHidden/>
          </w:rPr>
          <w:t>2</w:t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65607" w:rsidRPr="00830D85" w:rsidRDefault="000D4870" w:rsidP="00065607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9460" w:history="1">
        <w:r w:rsidR="00065607" w:rsidRPr="00830D85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="00065607" w:rsidRPr="00830D85">
          <w:rPr>
            <w:rFonts w:ascii="IRBadr" w:hAnsi="IRBadr" w:cs="IRBadr"/>
            <w:noProof/>
            <w:webHidden/>
          </w:rPr>
          <w:tab/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65607" w:rsidRPr="00830D85">
          <w:rPr>
            <w:rFonts w:ascii="IRBadr" w:hAnsi="IRBadr" w:cs="IRBadr"/>
            <w:noProof/>
            <w:webHidden/>
          </w:rPr>
          <w:instrText xml:space="preserve"> PAGEREF _Toc427449460 \h </w:instrText>
        </w:r>
        <w:r w:rsidR="00065607" w:rsidRPr="00830D85">
          <w:rPr>
            <w:rStyle w:val="Hyperlink"/>
            <w:rFonts w:ascii="IRBadr" w:hAnsi="IRBadr" w:cs="IRBadr"/>
            <w:noProof/>
            <w:rtl/>
          </w:rPr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65607" w:rsidRPr="00830D85">
          <w:rPr>
            <w:rFonts w:ascii="IRBadr" w:hAnsi="IRBadr" w:cs="IRBadr"/>
            <w:noProof/>
            <w:webHidden/>
          </w:rPr>
          <w:t>2</w:t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65607" w:rsidRPr="00830D85" w:rsidRDefault="000D4870" w:rsidP="00065607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9461" w:history="1">
        <w:r w:rsidR="00065607" w:rsidRPr="00830D85">
          <w:rPr>
            <w:rStyle w:val="Hyperlink"/>
            <w:rFonts w:ascii="IRBadr" w:hAnsi="IRBadr" w:cs="IRBadr"/>
            <w:noProof/>
            <w:rtl/>
          </w:rPr>
          <w:t>بررسی ادله</w:t>
        </w:r>
        <w:r w:rsidR="00065607" w:rsidRPr="00830D85">
          <w:rPr>
            <w:rFonts w:ascii="IRBadr" w:hAnsi="IRBadr" w:cs="IRBadr"/>
            <w:noProof/>
            <w:webHidden/>
          </w:rPr>
          <w:tab/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65607" w:rsidRPr="00830D85">
          <w:rPr>
            <w:rFonts w:ascii="IRBadr" w:hAnsi="IRBadr" w:cs="IRBadr"/>
            <w:noProof/>
            <w:webHidden/>
          </w:rPr>
          <w:instrText xml:space="preserve"> PAGEREF _Toc427449461 \h </w:instrText>
        </w:r>
        <w:r w:rsidR="00065607" w:rsidRPr="00830D85">
          <w:rPr>
            <w:rStyle w:val="Hyperlink"/>
            <w:rFonts w:ascii="IRBadr" w:hAnsi="IRBadr" w:cs="IRBadr"/>
            <w:noProof/>
            <w:rtl/>
          </w:rPr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65607" w:rsidRPr="00830D85">
          <w:rPr>
            <w:rFonts w:ascii="IRBadr" w:hAnsi="IRBadr" w:cs="IRBadr"/>
            <w:noProof/>
            <w:webHidden/>
          </w:rPr>
          <w:t>2</w:t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65607" w:rsidRPr="00830D85" w:rsidRDefault="000D4870" w:rsidP="0006560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9462" w:history="1">
        <w:r w:rsidR="00065607" w:rsidRPr="00830D85">
          <w:rPr>
            <w:rStyle w:val="Hyperlink"/>
            <w:rFonts w:ascii="IRBadr" w:hAnsi="IRBadr" w:cs="IRBadr"/>
            <w:noProof/>
            <w:rtl/>
          </w:rPr>
          <w:t>شبهه امر عقیب منع</w:t>
        </w:r>
        <w:r w:rsidR="00065607" w:rsidRPr="00830D85">
          <w:rPr>
            <w:rFonts w:ascii="IRBadr" w:hAnsi="IRBadr" w:cs="IRBadr"/>
            <w:noProof/>
            <w:webHidden/>
          </w:rPr>
          <w:tab/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65607" w:rsidRPr="00830D85">
          <w:rPr>
            <w:rFonts w:ascii="IRBadr" w:hAnsi="IRBadr" w:cs="IRBadr"/>
            <w:noProof/>
            <w:webHidden/>
          </w:rPr>
          <w:instrText xml:space="preserve"> PAGEREF _Toc427449462 \h </w:instrText>
        </w:r>
        <w:r w:rsidR="00065607" w:rsidRPr="00830D85">
          <w:rPr>
            <w:rStyle w:val="Hyperlink"/>
            <w:rFonts w:ascii="IRBadr" w:hAnsi="IRBadr" w:cs="IRBadr"/>
            <w:noProof/>
            <w:rtl/>
          </w:rPr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65607" w:rsidRPr="00830D85">
          <w:rPr>
            <w:rFonts w:ascii="IRBadr" w:hAnsi="IRBadr" w:cs="IRBadr"/>
            <w:noProof/>
            <w:webHidden/>
          </w:rPr>
          <w:t>3</w:t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65607" w:rsidRPr="00830D85" w:rsidRDefault="000D4870" w:rsidP="0006560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9463" w:history="1">
        <w:r w:rsidR="00065607" w:rsidRPr="00830D85">
          <w:rPr>
            <w:rStyle w:val="Hyperlink"/>
            <w:rFonts w:ascii="IRBadr" w:hAnsi="IRBadr" w:cs="IRBadr"/>
            <w:noProof/>
            <w:rtl/>
          </w:rPr>
          <w:t>روایات داله بر وجوب حق حاکم</w:t>
        </w:r>
        <w:r w:rsidR="00065607" w:rsidRPr="00830D85">
          <w:rPr>
            <w:rFonts w:ascii="IRBadr" w:hAnsi="IRBadr" w:cs="IRBadr"/>
            <w:noProof/>
            <w:webHidden/>
          </w:rPr>
          <w:tab/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65607" w:rsidRPr="00830D85">
          <w:rPr>
            <w:rFonts w:ascii="IRBadr" w:hAnsi="IRBadr" w:cs="IRBadr"/>
            <w:noProof/>
            <w:webHidden/>
          </w:rPr>
          <w:instrText xml:space="preserve"> PAGEREF _Toc427449463 \h </w:instrText>
        </w:r>
        <w:r w:rsidR="00065607" w:rsidRPr="00830D85">
          <w:rPr>
            <w:rStyle w:val="Hyperlink"/>
            <w:rFonts w:ascii="IRBadr" w:hAnsi="IRBadr" w:cs="IRBadr"/>
            <w:noProof/>
            <w:rtl/>
          </w:rPr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65607" w:rsidRPr="00830D85">
          <w:rPr>
            <w:rFonts w:ascii="IRBadr" w:hAnsi="IRBadr" w:cs="IRBadr"/>
            <w:noProof/>
            <w:webHidden/>
          </w:rPr>
          <w:t>3</w:t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65607" w:rsidRPr="00830D85" w:rsidRDefault="000D4870" w:rsidP="0006560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9464" w:history="1">
        <w:r w:rsidR="00065607" w:rsidRPr="00830D85">
          <w:rPr>
            <w:rStyle w:val="Hyperlink"/>
            <w:rFonts w:ascii="IRBadr" w:hAnsi="IRBadr" w:cs="IRBadr"/>
            <w:noProof/>
            <w:rtl/>
          </w:rPr>
          <w:t>اجوبه شبهه امر عقیب منع</w:t>
        </w:r>
        <w:r w:rsidR="00065607" w:rsidRPr="00830D85">
          <w:rPr>
            <w:rFonts w:ascii="IRBadr" w:hAnsi="IRBadr" w:cs="IRBadr"/>
            <w:noProof/>
            <w:webHidden/>
          </w:rPr>
          <w:tab/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65607" w:rsidRPr="00830D85">
          <w:rPr>
            <w:rFonts w:ascii="IRBadr" w:hAnsi="IRBadr" w:cs="IRBadr"/>
            <w:noProof/>
            <w:webHidden/>
          </w:rPr>
          <w:instrText xml:space="preserve"> PAGEREF _Toc427449464 \h </w:instrText>
        </w:r>
        <w:r w:rsidR="00065607" w:rsidRPr="00830D85">
          <w:rPr>
            <w:rStyle w:val="Hyperlink"/>
            <w:rFonts w:ascii="IRBadr" w:hAnsi="IRBadr" w:cs="IRBadr"/>
            <w:noProof/>
            <w:rtl/>
          </w:rPr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65607" w:rsidRPr="00830D85">
          <w:rPr>
            <w:rFonts w:ascii="IRBadr" w:hAnsi="IRBadr" w:cs="IRBadr"/>
            <w:noProof/>
            <w:webHidden/>
          </w:rPr>
          <w:t>3</w:t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65607" w:rsidRPr="00830D85" w:rsidRDefault="000D4870" w:rsidP="0006560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9465" w:history="1">
        <w:r w:rsidR="00065607" w:rsidRPr="00830D85">
          <w:rPr>
            <w:rStyle w:val="Hyperlink"/>
            <w:rFonts w:ascii="IRBadr" w:hAnsi="IRBadr" w:cs="IRBadr"/>
            <w:noProof/>
            <w:rtl/>
          </w:rPr>
          <w:t>جواب اول</w:t>
        </w:r>
        <w:r w:rsidR="00065607" w:rsidRPr="00830D85">
          <w:rPr>
            <w:rFonts w:ascii="IRBadr" w:hAnsi="IRBadr" w:cs="IRBadr"/>
            <w:noProof/>
            <w:webHidden/>
          </w:rPr>
          <w:tab/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65607" w:rsidRPr="00830D85">
          <w:rPr>
            <w:rFonts w:ascii="IRBadr" w:hAnsi="IRBadr" w:cs="IRBadr"/>
            <w:noProof/>
            <w:webHidden/>
          </w:rPr>
          <w:instrText xml:space="preserve"> PAGEREF _Toc427449465 \h </w:instrText>
        </w:r>
        <w:r w:rsidR="00065607" w:rsidRPr="00830D85">
          <w:rPr>
            <w:rStyle w:val="Hyperlink"/>
            <w:rFonts w:ascii="IRBadr" w:hAnsi="IRBadr" w:cs="IRBadr"/>
            <w:noProof/>
            <w:rtl/>
          </w:rPr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65607" w:rsidRPr="00830D85">
          <w:rPr>
            <w:rFonts w:ascii="IRBadr" w:hAnsi="IRBadr" w:cs="IRBadr"/>
            <w:noProof/>
            <w:webHidden/>
          </w:rPr>
          <w:t>3</w:t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65607" w:rsidRPr="00830D85" w:rsidRDefault="000D4870" w:rsidP="0006560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9466" w:history="1">
        <w:r w:rsidR="00065607" w:rsidRPr="00830D85">
          <w:rPr>
            <w:rStyle w:val="Hyperlink"/>
            <w:rFonts w:ascii="IRBadr" w:hAnsi="IRBadr" w:cs="IRBadr"/>
            <w:noProof/>
            <w:rtl/>
          </w:rPr>
          <w:t>جواب دوم</w:t>
        </w:r>
        <w:r w:rsidR="00065607" w:rsidRPr="00830D85">
          <w:rPr>
            <w:rFonts w:ascii="IRBadr" w:hAnsi="IRBadr" w:cs="IRBadr"/>
            <w:noProof/>
            <w:webHidden/>
          </w:rPr>
          <w:tab/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65607" w:rsidRPr="00830D85">
          <w:rPr>
            <w:rFonts w:ascii="IRBadr" w:hAnsi="IRBadr" w:cs="IRBadr"/>
            <w:noProof/>
            <w:webHidden/>
          </w:rPr>
          <w:instrText xml:space="preserve"> PAGEREF _Toc427449466 \h </w:instrText>
        </w:r>
        <w:r w:rsidR="00065607" w:rsidRPr="00830D85">
          <w:rPr>
            <w:rStyle w:val="Hyperlink"/>
            <w:rFonts w:ascii="IRBadr" w:hAnsi="IRBadr" w:cs="IRBadr"/>
            <w:noProof/>
            <w:rtl/>
          </w:rPr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65607" w:rsidRPr="00830D85">
          <w:rPr>
            <w:rFonts w:ascii="IRBadr" w:hAnsi="IRBadr" w:cs="IRBadr"/>
            <w:noProof/>
            <w:webHidden/>
          </w:rPr>
          <w:t>4</w:t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65607" w:rsidRPr="00830D85" w:rsidRDefault="000D4870" w:rsidP="00065607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9467" w:history="1">
        <w:r w:rsidR="00065607" w:rsidRPr="00830D85">
          <w:rPr>
            <w:rStyle w:val="Hyperlink"/>
            <w:rFonts w:ascii="IRBadr" w:hAnsi="IRBadr" w:cs="IRBadr"/>
            <w:noProof/>
            <w:rtl/>
          </w:rPr>
          <w:t>شرایط ثبوت حکم</w:t>
        </w:r>
        <w:r w:rsidR="00065607" w:rsidRPr="00830D85">
          <w:rPr>
            <w:rFonts w:ascii="IRBadr" w:hAnsi="IRBadr" w:cs="IRBadr"/>
            <w:noProof/>
            <w:webHidden/>
          </w:rPr>
          <w:tab/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65607" w:rsidRPr="00830D85">
          <w:rPr>
            <w:rFonts w:ascii="IRBadr" w:hAnsi="IRBadr" w:cs="IRBadr"/>
            <w:noProof/>
            <w:webHidden/>
          </w:rPr>
          <w:instrText xml:space="preserve"> PAGEREF _Toc427449467 \h </w:instrText>
        </w:r>
        <w:r w:rsidR="00065607" w:rsidRPr="00830D85">
          <w:rPr>
            <w:rStyle w:val="Hyperlink"/>
            <w:rFonts w:ascii="IRBadr" w:hAnsi="IRBadr" w:cs="IRBadr"/>
            <w:noProof/>
            <w:rtl/>
          </w:rPr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65607" w:rsidRPr="00830D85">
          <w:rPr>
            <w:rFonts w:ascii="IRBadr" w:hAnsi="IRBadr" w:cs="IRBadr"/>
            <w:noProof/>
            <w:webHidden/>
          </w:rPr>
          <w:t>4</w:t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65607" w:rsidRPr="00830D85" w:rsidRDefault="000D4870" w:rsidP="00065607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9468" w:history="1">
        <w:r w:rsidR="00065607" w:rsidRPr="00830D85">
          <w:rPr>
            <w:rStyle w:val="Hyperlink"/>
            <w:rFonts w:ascii="IRBadr" w:hAnsi="IRBadr" w:cs="IRBadr"/>
            <w:noProof/>
            <w:rtl/>
          </w:rPr>
          <w:t>شروط غیر لازمه</w:t>
        </w:r>
        <w:r w:rsidR="00065607" w:rsidRPr="00830D85">
          <w:rPr>
            <w:rFonts w:ascii="IRBadr" w:hAnsi="IRBadr" w:cs="IRBadr"/>
            <w:noProof/>
            <w:webHidden/>
          </w:rPr>
          <w:tab/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65607" w:rsidRPr="00830D85">
          <w:rPr>
            <w:rFonts w:ascii="IRBadr" w:hAnsi="IRBadr" w:cs="IRBadr"/>
            <w:noProof/>
            <w:webHidden/>
          </w:rPr>
          <w:instrText xml:space="preserve"> PAGEREF _Toc427449468 \h </w:instrText>
        </w:r>
        <w:r w:rsidR="00065607" w:rsidRPr="00830D85">
          <w:rPr>
            <w:rStyle w:val="Hyperlink"/>
            <w:rFonts w:ascii="IRBadr" w:hAnsi="IRBadr" w:cs="IRBadr"/>
            <w:noProof/>
            <w:rtl/>
          </w:rPr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65607" w:rsidRPr="00830D85">
          <w:rPr>
            <w:rFonts w:ascii="IRBadr" w:hAnsi="IRBadr" w:cs="IRBadr"/>
            <w:noProof/>
            <w:webHidden/>
          </w:rPr>
          <w:t>5</w:t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65607" w:rsidRPr="00830D85" w:rsidRDefault="000D4870" w:rsidP="00065607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9469" w:history="1">
        <w:r w:rsidR="00065607" w:rsidRPr="00830D85">
          <w:rPr>
            <w:rStyle w:val="Hyperlink"/>
            <w:rFonts w:ascii="IRBadr" w:hAnsi="IRBadr" w:cs="IRBadr"/>
            <w:noProof/>
            <w:rtl/>
          </w:rPr>
          <w:t>شک در قصدیت</w:t>
        </w:r>
        <w:r w:rsidR="00065607" w:rsidRPr="00830D85">
          <w:rPr>
            <w:rFonts w:ascii="IRBadr" w:hAnsi="IRBadr" w:cs="IRBadr"/>
            <w:noProof/>
            <w:webHidden/>
          </w:rPr>
          <w:tab/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65607" w:rsidRPr="00830D85">
          <w:rPr>
            <w:rFonts w:ascii="IRBadr" w:hAnsi="IRBadr" w:cs="IRBadr"/>
            <w:noProof/>
            <w:webHidden/>
          </w:rPr>
          <w:instrText xml:space="preserve"> PAGEREF _Toc427449469 \h </w:instrText>
        </w:r>
        <w:r w:rsidR="00065607" w:rsidRPr="00830D85">
          <w:rPr>
            <w:rStyle w:val="Hyperlink"/>
            <w:rFonts w:ascii="IRBadr" w:hAnsi="IRBadr" w:cs="IRBadr"/>
            <w:noProof/>
            <w:rtl/>
          </w:rPr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65607" w:rsidRPr="00830D85">
          <w:rPr>
            <w:rFonts w:ascii="IRBadr" w:hAnsi="IRBadr" w:cs="IRBadr"/>
            <w:noProof/>
            <w:webHidden/>
          </w:rPr>
          <w:t>5</w:t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65607" w:rsidRPr="00830D85" w:rsidRDefault="000D4870" w:rsidP="00065607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9470" w:history="1">
        <w:r w:rsidR="00065607" w:rsidRPr="00830D85">
          <w:rPr>
            <w:rStyle w:val="Hyperlink"/>
            <w:rFonts w:ascii="IRBadr" w:hAnsi="IRBadr" w:cs="IRBadr"/>
            <w:noProof/>
            <w:rtl/>
          </w:rPr>
          <w:t>کیفیت قتل</w:t>
        </w:r>
        <w:r w:rsidR="00065607" w:rsidRPr="00830D85">
          <w:rPr>
            <w:rFonts w:ascii="IRBadr" w:hAnsi="IRBadr" w:cs="IRBadr"/>
            <w:noProof/>
            <w:webHidden/>
          </w:rPr>
          <w:tab/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65607" w:rsidRPr="00830D85">
          <w:rPr>
            <w:rFonts w:ascii="IRBadr" w:hAnsi="IRBadr" w:cs="IRBadr"/>
            <w:noProof/>
            <w:webHidden/>
          </w:rPr>
          <w:instrText xml:space="preserve"> PAGEREF _Toc427449470 \h </w:instrText>
        </w:r>
        <w:r w:rsidR="00065607" w:rsidRPr="00830D85">
          <w:rPr>
            <w:rStyle w:val="Hyperlink"/>
            <w:rFonts w:ascii="IRBadr" w:hAnsi="IRBadr" w:cs="IRBadr"/>
            <w:noProof/>
            <w:rtl/>
          </w:rPr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65607" w:rsidRPr="00830D85">
          <w:rPr>
            <w:rFonts w:ascii="IRBadr" w:hAnsi="IRBadr" w:cs="IRBadr"/>
            <w:noProof/>
            <w:webHidden/>
          </w:rPr>
          <w:t>5</w:t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65607" w:rsidRPr="00830D85" w:rsidRDefault="000D4870" w:rsidP="00065607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9471" w:history="1">
        <w:r w:rsidR="00065607" w:rsidRPr="00830D85">
          <w:rPr>
            <w:rStyle w:val="Hyperlink"/>
            <w:rFonts w:ascii="IRBadr" w:hAnsi="IRBadr" w:cs="IRBadr"/>
            <w:noProof/>
            <w:rtl/>
          </w:rPr>
          <w:t>شرط عدم خوف</w:t>
        </w:r>
        <w:r w:rsidR="00065607" w:rsidRPr="00830D85">
          <w:rPr>
            <w:rFonts w:ascii="IRBadr" w:hAnsi="IRBadr" w:cs="IRBadr"/>
            <w:noProof/>
            <w:webHidden/>
          </w:rPr>
          <w:tab/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65607" w:rsidRPr="00830D85">
          <w:rPr>
            <w:rFonts w:ascii="IRBadr" w:hAnsi="IRBadr" w:cs="IRBadr"/>
            <w:noProof/>
            <w:webHidden/>
          </w:rPr>
          <w:instrText xml:space="preserve"> PAGEREF _Toc427449471 \h </w:instrText>
        </w:r>
        <w:r w:rsidR="00065607" w:rsidRPr="00830D85">
          <w:rPr>
            <w:rStyle w:val="Hyperlink"/>
            <w:rFonts w:ascii="IRBadr" w:hAnsi="IRBadr" w:cs="IRBadr"/>
            <w:noProof/>
            <w:rtl/>
          </w:rPr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65607" w:rsidRPr="00830D85">
          <w:rPr>
            <w:rFonts w:ascii="IRBadr" w:hAnsi="IRBadr" w:cs="IRBadr"/>
            <w:noProof/>
            <w:webHidden/>
          </w:rPr>
          <w:t>6</w:t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65607" w:rsidRPr="00830D85" w:rsidRDefault="000D4870" w:rsidP="00065607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9472" w:history="1">
        <w:r w:rsidR="00065607" w:rsidRPr="00830D85">
          <w:rPr>
            <w:rStyle w:val="Hyperlink"/>
            <w:rFonts w:ascii="IRBadr" w:hAnsi="IRBadr" w:cs="IRBadr"/>
            <w:noProof/>
            <w:rtl/>
          </w:rPr>
          <w:t>روایت دوم</w:t>
        </w:r>
        <w:r w:rsidR="00065607" w:rsidRPr="00830D85">
          <w:rPr>
            <w:rFonts w:ascii="IRBadr" w:hAnsi="IRBadr" w:cs="IRBadr"/>
            <w:noProof/>
            <w:webHidden/>
          </w:rPr>
          <w:tab/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65607" w:rsidRPr="00830D85">
          <w:rPr>
            <w:rFonts w:ascii="IRBadr" w:hAnsi="IRBadr" w:cs="IRBadr"/>
            <w:noProof/>
            <w:webHidden/>
          </w:rPr>
          <w:instrText xml:space="preserve"> PAGEREF _Toc427449472 \h </w:instrText>
        </w:r>
        <w:r w:rsidR="00065607" w:rsidRPr="00830D85">
          <w:rPr>
            <w:rStyle w:val="Hyperlink"/>
            <w:rFonts w:ascii="IRBadr" w:hAnsi="IRBadr" w:cs="IRBadr"/>
            <w:noProof/>
            <w:rtl/>
          </w:rPr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65607" w:rsidRPr="00830D85">
          <w:rPr>
            <w:rFonts w:ascii="IRBadr" w:hAnsi="IRBadr" w:cs="IRBadr"/>
            <w:noProof/>
            <w:webHidden/>
          </w:rPr>
          <w:t>6</w:t>
        </w:r>
        <w:r w:rsidR="00065607" w:rsidRPr="00830D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65607" w:rsidRPr="00830D85" w:rsidRDefault="00065607" w:rsidP="00065607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830D85" w:rsidRDefault="00830D85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449459"/>
      <w:r>
        <w:rPr>
          <w:rFonts w:ascii="IRBadr" w:hAnsi="IRBadr" w:cs="IRBadr"/>
          <w:rtl/>
        </w:rPr>
        <w:br w:type="page"/>
      </w:r>
    </w:p>
    <w:p w:rsidR="00977139" w:rsidRPr="00830D85" w:rsidRDefault="00977139" w:rsidP="00065607">
      <w:pPr>
        <w:pStyle w:val="Heading1"/>
        <w:rPr>
          <w:rFonts w:ascii="IRBadr" w:hAnsi="IRBadr" w:cs="IRBadr"/>
          <w:rtl/>
        </w:rPr>
      </w:pPr>
      <w:r w:rsidRPr="00830D85">
        <w:rPr>
          <w:rFonts w:ascii="IRBadr" w:hAnsi="IRBadr" w:cs="IRBadr"/>
          <w:rtl/>
        </w:rPr>
        <w:lastRenderedPageBreak/>
        <w:t>سب النبی (ص)</w:t>
      </w:r>
      <w:bookmarkEnd w:id="1"/>
    </w:p>
    <w:p w:rsidR="00977139" w:rsidRPr="00830D85" w:rsidRDefault="00977139" w:rsidP="00065607">
      <w:pPr>
        <w:pStyle w:val="Heading1"/>
        <w:rPr>
          <w:rFonts w:ascii="IRBadr" w:hAnsi="IRBadr" w:cs="IRBadr"/>
          <w:rtl/>
        </w:rPr>
      </w:pPr>
      <w:bookmarkStart w:id="2" w:name="_Toc427449460"/>
      <w:r w:rsidRPr="00830D85">
        <w:rPr>
          <w:rFonts w:ascii="IRBadr" w:hAnsi="IRBadr" w:cs="IRBadr"/>
          <w:rtl/>
        </w:rPr>
        <w:t>مرور بحث گذشته</w:t>
      </w:r>
      <w:bookmarkEnd w:id="2"/>
    </w:p>
    <w:p w:rsidR="00977139" w:rsidRPr="00830D85" w:rsidRDefault="00977139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روایاتی در قبال بحث سب النبی (ص) بیان شد که برخی از 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سندی معتبر بودند و برخی نیز دچار 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>ضعف‌هایی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بودند.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شد روایات وقتی ائمه اطهار </w:t>
      </w:r>
      <w:r w:rsidR="00DF373D" w:rsidRPr="00830D85">
        <w:rPr>
          <w:rFonts w:ascii="IRBadr" w:hAnsi="IRBadr" w:cs="IRBadr"/>
          <w:sz w:val="28"/>
          <w:szCs w:val="28"/>
          <w:rtl/>
          <w:lang w:bidi="fa-IR"/>
        </w:rPr>
        <w:t>(ع) را در این زمینه دربر بگیرد،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نبی</w:t>
      </w:r>
      <w:r w:rsidR="00DF373D" w:rsidRPr="00830D85">
        <w:rPr>
          <w:rFonts w:ascii="IRBadr" w:hAnsi="IRBadr" w:cs="IRBadr"/>
          <w:sz w:val="28"/>
          <w:szCs w:val="28"/>
          <w:rtl/>
          <w:lang w:bidi="fa-IR"/>
        </w:rPr>
        <w:t xml:space="preserve"> اکرم (ص)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به‌طریق‌اولی</w:t>
      </w:r>
      <w:r w:rsidR="00DF373D" w:rsidRPr="00830D85">
        <w:rPr>
          <w:rFonts w:ascii="IRBadr" w:hAnsi="IRBadr" w:cs="IRBadr"/>
          <w:sz w:val="28"/>
          <w:szCs w:val="28"/>
          <w:rtl/>
          <w:lang w:bidi="fa-IR"/>
        </w:rPr>
        <w:t xml:space="preserve"> مشمول حکم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DF373D" w:rsidRPr="00830D85">
        <w:rPr>
          <w:rFonts w:ascii="IRBadr" w:hAnsi="IRBadr" w:cs="IRBadr"/>
          <w:sz w:val="28"/>
          <w:szCs w:val="28"/>
          <w:rtl/>
          <w:lang w:bidi="fa-IR"/>
        </w:rPr>
        <w:t xml:space="preserve"> خواهند بود.</w:t>
      </w:r>
    </w:p>
    <w:p w:rsidR="00977139" w:rsidRPr="00830D85" w:rsidRDefault="00DF373D" w:rsidP="00065607">
      <w:pPr>
        <w:pStyle w:val="Heading1"/>
        <w:rPr>
          <w:rFonts w:ascii="IRBadr" w:hAnsi="IRBadr" w:cs="IRBadr"/>
          <w:rtl/>
        </w:rPr>
      </w:pPr>
      <w:bookmarkStart w:id="3" w:name="_Toc427449461"/>
      <w:r w:rsidRPr="00830D85">
        <w:rPr>
          <w:rFonts w:ascii="IRBadr" w:hAnsi="IRBadr" w:cs="IRBadr"/>
          <w:rtl/>
        </w:rPr>
        <w:t>بررسی ادله</w:t>
      </w:r>
      <w:bookmarkEnd w:id="3"/>
    </w:p>
    <w:p w:rsidR="00DF373D" w:rsidRPr="00830D85" w:rsidRDefault="00DF373D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چندین روایت در این مقام وجود داشت که از میان 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دو روایت معتبر بود،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اول،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صحیحه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هشام بن سالم بود که چنین تعبیری داشت؛</w:t>
      </w:r>
    </w:p>
    <w:p w:rsidR="00A85F7C" w:rsidRPr="00830D85" w:rsidRDefault="00A85F7C" w:rsidP="00065607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ابْنِ أَبِ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عُمَ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عَنْ هِشَامِ بْنِ سَالِمٍ عَنْ أَبِ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أَنَّهُ سَأَلَ عَمَّنْ شَتَمَ رَسُولَ اللَّهِ ص فَقَالَ 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قْتُلُهُ الْأَدْنَ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فَالْأَدْنَ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قَبْلَ أَنْ 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رْفَعَهُ إِلَ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الْإِمَامِ.»</w:t>
      </w:r>
      <w:r w:rsidRPr="00830D8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DF373D" w:rsidRPr="00830D85" w:rsidRDefault="00DF373D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>گفته شد که در این روایت دلالت فعل قتل بر وجوب،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دلالت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مناسبی بوده،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از دلالت امر اقوی است.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علت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آن این بوده که؛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جمله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خبریه استمرار بیشتری را 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>می‌رساند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>.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محمد بن مسلم که روایت معتبری بود،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بر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این امر دلالت داشت.</w:t>
      </w:r>
    </w:p>
    <w:p w:rsidR="00442D4E" w:rsidRPr="00830D85" w:rsidRDefault="00442D4E" w:rsidP="00065607">
      <w:pPr>
        <w:pStyle w:val="Heading2"/>
        <w:rPr>
          <w:rFonts w:ascii="IRBadr" w:hAnsi="IRBadr" w:cs="IRBadr"/>
          <w:rtl/>
        </w:rPr>
      </w:pPr>
      <w:bookmarkStart w:id="4" w:name="_Toc427449462"/>
      <w:r w:rsidRPr="00830D85">
        <w:rPr>
          <w:rFonts w:ascii="IRBadr" w:hAnsi="IRBadr" w:cs="IRBadr"/>
          <w:rtl/>
        </w:rPr>
        <w:t>شبهه امر عقیب منع</w:t>
      </w:r>
      <w:bookmarkEnd w:id="4"/>
    </w:p>
    <w:p w:rsidR="00442D4E" w:rsidRPr="00830D85" w:rsidRDefault="00442D4E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ممکن است در اینجا این شبهه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به وجود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آید که؛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ازآنجاکه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امر عقیب منع یا وارد بر مورد توهم آن،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دلالت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بر وجوب </w:t>
      </w:r>
      <w:r w:rsidR="00830D85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830D85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>و مفید جواز است،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اوامری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که در قبال قتل ساب النبی (ص)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این قبیل بوده است.</w:t>
      </w:r>
    </w:p>
    <w:p w:rsidR="00442D4E" w:rsidRPr="00830D85" w:rsidRDefault="00EE6E7D" w:rsidP="00065607">
      <w:pPr>
        <w:pStyle w:val="Heading2"/>
        <w:rPr>
          <w:rFonts w:ascii="IRBadr" w:hAnsi="IRBadr" w:cs="IRBadr"/>
          <w:rtl/>
        </w:rPr>
      </w:pPr>
      <w:bookmarkStart w:id="5" w:name="_Toc427449463"/>
      <w:r w:rsidRPr="00830D85">
        <w:rPr>
          <w:rFonts w:ascii="IRBadr" w:hAnsi="IRBadr" w:cs="IRBadr"/>
          <w:rtl/>
        </w:rPr>
        <w:t>روایات داله بر وجوب حق حاکم</w:t>
      </w:r>
      <w:bookmarkEnd w:id="5"/>
    </w:p>
    <w:p w:rsidR="00EE6E7D" w:rsidRPr="00830D85" w:rsidRDefault="00C84C65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EE6E7D" w:rsidRPr="00830D85">
        <w:rPr>
          <w:rFonts w:ascii="IRBadr" w:hAnsi="IRBadr" w:cs="IRBadr"/>
          <w:sz w:val="28"/>
          <w:szCs w:val="28"/>
          <w:rtl/>
          <w:lang w:bidi="fa-IR"/>
        </w:rPr>
        <w:t xml:space="preserve"> روایاتی که دلالت بر وجوب حق سلطان یعنی حکومت مشروع 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EE6E7D"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23F49" w:rsidRPr="00830D85">
        <w:rPr>
          <w:rFonts w:ascii="IRBadr" w:hAnsi="IRBadr" w:cs="IRBadr"/>
          <w:sz w:val="28"/>
          <w:szCs w:val="28"/>
          <w:rtl/>
          <w:lang w:bidi="fa-IR"/>
        </w:rPr>
        <w:t>در جلد هیجده</w:t>
      </w:r>
      <w:r w:rsidR="00EE6E7D" w:rsidRPr="00830D85">
        <w:rPr>
          <w:rFonts w:ascii="IRBadr" w:hAnsi="IRBadr" w:cs="IRBadr"/>
          <w:sz w:val="28"/>
          <w:szCs w:val="28"/>
          <w:rtl/>
          <w:lang w:bidi="fa-IR"/>
        </w:rPr>
        <w:t>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ابواب</w:t>
      </w:r>
      <w:r w:rsidR="00A23F49" w:rsidRPr="00830D85">
        <w:rPr>
          <w:rFonts w:ascii="IRBadr" w:hAnsi="IRBadr" w:cs="IRBadr"/>
          <w:sz w:val="28"/>
          <w:szCs w:val="28"/>
          <w:rtl/>
          <w:lang w:bidi="fa-IR"/>
        </w:rPr>
        <w:t xml:space="preserve"> مقدمات حدود، باب بیست و هشتم، صفحه سیصد و 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>سی‌وهشت</w:t>
      </w:r>
      <w:r w:rsidR="00EE6E7D" w:rsidRPr="00830D85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A23F49" w:rsidRPr="00830D85">
        <w:rPr>
          <w:rFonts w:ascii="IRBadr" w:hAnsi="IRBadr" w:cs="IRBadr"/>
          <w:sz w:val="28"/>
          <w:szCs w:val="28"/>
          <w:rtl/>
          <w:lang w:bidi="fa-IR"/>
        </w:rPr>
        <w:t>. روایتی که معتبره هست.</w:t>
      </w:r>
    </w:p>
    <w:p w:rsidR="00A85F7C" w:rsidRPr="00830D85" w:rsidRDefault="00A85F7C" w:rsidP="00065607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«عَنْهُ عَنْ عَلِ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مُحَمَّدٍ عَنِ الْقَاسِمِ بْنِ مُحَمَّدٍ عَنْ سُلَ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مَانَ بْنِ دَاوُدَ الْمِنْقَرِ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حَفْصِ بْنِ غِ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اثٍ قَالَ: سَأَلْتُ أَبَا عَبْدِ اللَّهِ ع قُلْتُ مَنْ 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مُ الْحُدُودَ السُّلْطَانُ أَوِ الْقَاضِ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فَقَالَ إِقَامَةُ الْحُدُودِ إِلَ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مَنْ إِلَ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الْحُ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مُ.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830D8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EE6E7D" w:rsidRPr="00830D85" w:rsidRDefault="001969A6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روایت دیگری از مرحوم مفید به همین مضمون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1969A6" w:rsidRPr="00830D85" w:rsidRDefault="001969A6" w:rsidP="00065607">
      <w:pPr>
        <w:pStyle w:val="Heading2"/>
        <w:rPr>
          <w:rFonts w:ascii="IRBadr" w:hAnsi="IRBadr" w:cs="IRBadr"/>
          <w:rtl/>
        </w:rPr>
      </w:pPr>
      <w:bookmarkStart w:id="6" w:name="_Toc427449464"/>
      <w:r w:rsidRPr="00830D85">
        <w:rPr>
          <w:rFonts w:ascii="IRBadr" w:hAnsi="IRBadr" w:cs="IRBadr"/>
          <w:rtl/>
        </w:rPr>
        <w:t>اجوبه شبهه امر عقیب منع</w:t>
      </w:r>
      <w:bookmarkEnd w:id="6"/>
    </w:p>
    <w:p w:rsidR="001969A6" w:rsidRPr="00830D85" w:rsidRDefault="001969A6" w:rsidP="00065607">
      <w:pPr>
        <w:pStyle w:val="Heading2"/>
        <w:rPr>
          <w:rFonts w:ascii="IRBadr" w:hAnsi="IRBadr" w:cs="IRBadr"/>
          <w:rtl/>
        </w:rPr>
      </w:pPr>
      <w:bookmarkStart w:id="7" w:name="_Toc427449465"/>
      <w:r w:rsidRPr="00830D85">
        <w:rPr>
          <w:rFonts w:ascii="IRBadr" w:hAnsi="IRBadr" w:cs="IRBadr"/>
          <w:rtl/>
        </w:rPr>
        <w:t>جواب اول</w:t>
      </w:r>
      <w:bookmarkEnd w:id="7"/>
    </w:p>
    <w:p w:rsidR="00760FFE" w:rsidRPr="00830D85" w:rsidRDefault="001969A6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در شبهه امر عقیب منع 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به چند نحو پاسخ داد،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پاسخ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اول بدین نحو 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مطرح گردد که؛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باوجود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مقبولیت آن قاعده،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گفته شود که در اینجا امام در مقام بیان حدی از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حدودالله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است و طبق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در روایات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اقامه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حدودالله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واجب است.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حداقل بدین نحو لزوم اجرا شکل خواهد گرفت.</w:t>
      </w:r>
      <w:r w:rsidR="00760FFE"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درهرحال</w:t>
      </w:r>
      <w:r w:rsidR="00A23F49" w:rsidRPr="00830D85">
        <w:rPr>
          <w:rFonts w:ascii="IRBadr" w:hAnsi="IRBadr" w:cs="IRBadr"/>
          <w:sz w:val="28"/>
          <w:szCs w:val="28"/>
          <w:rtl/>
          <w:lang w:bidi="fa-IR"/>
        </w:rPr>
        <w:t xml:space="preserve"> این روایات در مقام جعل حد است</w:t>
      </w:r>
      <w:r w:rsidR="00760FFE" w:rsidRPr="00830D8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60FFE" w:rsidRPr="00830D85" w:rsidRDefault="00760FFE" w:rsidP="00065607">
      <w:pPr>
        <w:pStyle w:val="Heading2"/>
        <w:rPr>
          <w:rFonts w:ascii="IRBadr" w:hAnsi="IRBadr" w:cs="IRBadr"/>
          <w:rtl/>
        </w:rPr>
      </w:pPr>
      <w:bookmarkStart w:id="8" w:name="_Toc427449466"/>
      <w:r w:rsidRPr="00830D85">
        <w:rPr>
          <w:rFonts w:ascii="IRBadr" w:hAnsi="IRBadr" w:cs="IRBadr"/>
          <w:rtl/>
        </w:rPr>
        <w:t>جواب دوم</w:t>
      </w:r>
      <w:bookmarkEnd w:id="8"/>
    </w:p>
    <w:p w:rsidR="00760FFE" w:rsidRPr="00830D85" w:rsidRDefault="00760FFE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روایاتی در باب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بیست‌وهفت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است که از میان 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این روایت وجود دارد که؛</w:t>
      </w:r>
    </w:p>
    <w:p w:rsidR="00A85F7C" w:rsidRPr="00830D85" w:rsidRDefault="00A85F7C" w:rsidP="00065607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«عِدَّةٌ مِنْ أَصْحَابِنَا عَنْ أَحْمَدَ بْنِ مُحَمَّدِ بْنِ خَالِدٍ عَنْ أَبِ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الْقَاسِمِ بْنِ عُرْوَةَ عَنْ عُبَ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دِ بْنِ زُرَارَةَ عَنْ أَبِ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عَنْ أَبِ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قَالَ: مَنْ قَعَدَ فِ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مَجْلِسٍ 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سَبُّ فِ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إِمَامٌ مِنَ الْأَئِمَّةِ 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قْدِرُ عَلَ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الِانْتِصَافِ فَلَمْ 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فْعَلْ أَلْبَسَهُ اللَّهُ الذُّلَّ فِ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الدُّنْ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وَ عَذَّبَهُ فِ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الْآخِرَةِ وَ سَلَبَهُ صَالِحَ مَا مَنَّ بِهِ عَلَ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مِنْ مَعْرِفَتِنَا.»</w:t>
      </w:r>
      <w:r w:rsidRPr="00830D8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664337" w:rsidRPr="00830D85" w:rsidRDefault="00A23F49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در مورد آن روایات مربوط به ائمه </w:t>
      </w:r>
      <w:r w:rsidR="00065607" w:rsidRPr="00830D85">
        <w:rPr>
          <w:rFonts w:ascii="IRBadr" w:hAnsi="IRBadr" w:cs="IRBadr"/>
          <w:sz w:val="28"/>
          <w:szCs w:val="28"/>
          <w:rtl/>
          <w:lang w:bidi="fa-IR"/>
        </w:rPr>
        <w:t>طاهر ین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وعده عذاب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است و </w:t>
      </w:r>
      <w:r w:rsidR="00760FFE" w:rsidRPr="00830D85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>ظهور آن‌ها در وجوب</w:t>
      </w:r>
      <w:r w:rsidR="00760FFE" w:rsidRPr="00830D85">
        <w:rPr>
          <w:rFonts w:ascii="IRBadr" w:hAnsi="IRBadr" w:cs="IRBadr"/>
          <w:sz w:val="28"/>
          <w:szCs w:val="28"/>
          <w:rtl/>
          <w:lang w:bidi="fa-IR"/>
        </w:rPr>
        <w:t>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جای</w:t>
      </w:r>
      <w:r w:rsidR="00664337"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هیچ تردیدی نیست. روایت باب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بیست‌وهفت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تصریح دارد به </w:t>
      </w:r>
      <w:r w:rsidR="00664337" w:rsidRPr="00830D85">
        <w:rPr>
          <w:rFonts w:ascii="IRBadr" w:hAnsi="IRBadr" w:cs="IRBadr"/>
          <w:sz w:val="28"/>
          <w:szCs w:val="28"/>
          <w:rtl/>
          <w:lang w:bidi="fa-IR"/>
        </w:rPr>
        <w:t>اینکه کسی که بتواند، خطری نباشد و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شرایط آماده باشد </w:t>
      </w:r>
      <w:r w:rsidR="00664337" w:rsidRPr="00830D85">
        <w:rPr>
          <w:rFonts w:ascii="IRBadr" w:hAnsi="IRBadr" w:cs="IRBadr"/>
          <w:sz w:val="28"/>
          <w:szCs w:val="28"/>
          <w:rtl/>
          <w:lang w:bidi="fa-IR"/>
        </w:rPr>
        <w:t>اما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این کار را نکند، عذاب متوجه او می‌شود. این نشان می‌دهد</w:t>
      </w:r>
      <w:r w:rsidR="00664337" w:rsidRPr="00830D85">
        <w:rPr>
          <w:rFonts w:ascii="IRBadr" w:hAnsi="IRBadr" w:cs="IRBadr"/>
          <w:sz w:val="28"/>
          <w:szCs w:val="28"/>
          <w:rtl/>
          <w:lang w:bidi="fa-IR"/>
        </w:rPr>
        <w:t>.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وعده عذاب بر ترک فعل دلالت بر وجوب آن </w:t>
      </w:r>
      <w:r w:rsidR="00664337" w:rsidRPr="00830D85">
        <w:rPr>
          <w:rFonts w:ascii="IRBadr" w:hAnsi="IRBadr" w:cs="IRBadr"/>
          <w:sz w:val="28"/>
          <w:szCs w:val="28"/>
          <w:rtl/>
          <w:lang w:bidi="fa-IR"/>
        </w:rPr>
        <w:t>می‌کند.</w:t>
      </w:r>
    </w:p>
    <w:p w:rsidR="00664337" w:rsidRPr="00830D85" w:rsidRDefault="00664337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البته جلوتر اشاره خواهد شد که اگر این امر موجب مشتبه شدن چهره شیعیان در دنیا و تنگنایی آنان گردد،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قطعاً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عنوانی ثانوی در اینجا وجود دارد که جلوی آن را خواهد گرفت.</w:t>
      </w:r>
    </w:p>
    <w:p w:rsidR="00664337" w:rsidRPr="00830D85" w:rsidRDefault="00C84C65" w:rsidP="00065607">
      <w:pPr>
        <w:pStyle w:val="Heading3"/>
        <w:rPr>
          <w:rFonts w:ascii="IRBadr" w:hAnsi="IRBadr" w:cs="IRBadr"/>
          <w:rtl/>
        </w:rPr>
      </w:pPr>
      <w:bookmarkStart w:id="9" w:name="_Toc427449467"/>
      <w:r w:rsidRPr="00830D85">
        <w:rPr>
          <w:rFonts w:ascii="IRBadr" w:hAnsi="IRBadr" w:cs="IRBadr"/>
          <w:rtl/>
        </w:rPr>
        <w:lastRenderedPageBreak/>
        <w:t>شرایط</w:t>
      </w:r>
      <w:r w:rsidR="00664337" w:rsidRPr="00830D85">
        <w:rPr>
          <w:rFonts w:ascii="IRBadr" w:hAnsi="IRBadr" w:cs="IRBadr"/>
          <w:rtl/>
        </w:rPr>
        <w:t xml:space="preserve"> ثبوت حکم</w:t>
      </w:r>
      <w:bookmarkEnd w:id="9"/>
    </w:p>
    <w:p w:rsidR="00664337" w:rsidRPr="00830D85" w:rsidRDefault="00664337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برای ثبوت این حکم 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>طبیعتاً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شرایطی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وجود دارد که بدون تحقق 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حکم محقق نخواهد شد.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شرایط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آن تقریباً واضح است،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عقل است،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مجنون از تحت حکم اخراج خواهد شد،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اختیار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>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تکلیف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و ...نیز از شروط دیگری هستند که لاجرم در این مقام باید محقق باشند تا حکم اجرا شود.</w:t>
      </w:r>
    </w:p>
    <w:p w:rsidR="00664337" w:rsidRPr="00830D85" w:rsidRDefault="00664337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>بنابراین مجنون، صغیر،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23F49" w:rsidRPr="00830D85">
        <w:rPr>
          <w:rFonts w:ascii="IRBadr" w:hAnsi="IRBadr" w:cs="IRBadr"/>
          <w:sz w:val="28"/>
          <w:szCs w:val="28"/>
          <w:rtl/>
          <w:lang w:bidi="fa-IR"/>
        </w:rPr>
        <w:t>م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>جبور و مکره</w:t>
      </w:r>
      <w:r w:rsidR="00A23F49" w:rsidRPr="00830D85">
        <w:rPr>
          <w:rFonts w:ascii="IRBadr" w:hAnsi="IRBadr" w:cs="IRBadr"/>
          <w:sz w:val="28"/>
          <w:szCs w:val="28"/>
          <w:rtl/>
          <w:lang w:bidi="fa-IR"/>
        </w:rPr>
        <w:t xml:space="preserve"> از دایره این حکم و ثبوت این حد خارج هستند. این حد برای آن‌ها ثابت نمی‌شود.</w:t>
      </w:r>
    </w:p>
    <w:p w:rsidR="00664337" w:rsidRPr="00830D85" w:rsidRDefault="00664337" w:rsidP="00065607">
      <w:pPr>
        <w:pStyle w:val="Heading3"/>
        <w:rPr>
          <w:rFonts w:ascii="IRBadr" w:hAnsi="IRBadr" w:cs="IRBadr"/>
          <w:rtl/>
        </w:rPr>
      </w:pPr>
      <w:bookmarkStart w:id="10" w:name="_Toc427449468"/>
      <w:r w:rsidRPr="00830D85">
        <w:rPr>
          <w:rFonts w:ascii="IRBadr" w:hAnsi="IRBadr" w:cs="IRBadr"/>
          <w:rtl/>
        </w:rPr>
        <w:t>شروط غیر لازمه</w:t>
      </w:r>
      <w:bookmarkEnd w:id="10"/>
    </w:p>
    <w:p w:rsidR="009E4B51" w:rsidRPr="00830D85" w:rsidRDefault="00A23F49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ولی بعضی شرایط قطعاً ثابت نیست، 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>مثلاً اسلام شرط نیست، آنکه س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ب می‌کند مسلمان باشد یا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غیرمسلمان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باشد. روایات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 xml:space="preserve"> در قبال او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مطلق است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>.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ذکورت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و انوث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>ی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ت 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>نیز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برخلاف باب ارتداد 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>اینجا دخالتی ندارد.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 xml:space="preserve"> این حکم ثابت است، چه زن توهین کند و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چه مرد.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در همه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برای آن حد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مقررشده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 xml:space="preserve">، وقتی از بالغ صادر 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>شود و ممیز باشد، تعزیر است. این شرا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>یطی است که در اینجا وجود دارد. ط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بعاً شرطش این است که هاذل 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>و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در مقام شوخی نباشد.</w:t>
      </w:r>
    </w:p>
    <w:p w:rsidR="009E4B51" w:rsidRPr="00830D85" w:rsidRDefault="00A23F49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اگر کسی در مقام هذل و شوخی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یا توجه ندارد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 xml:space="preserve"> و غافل است ط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>بعاً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>او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را نمی‌گیرد. بنابراین شرایط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اینجا عقل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بلوغ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>، اختیار،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جد و قصد در کلام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9E4B51" w:rsidRPr="00830D85" w:rsidRDefault="009E4B51" w:rsidP="00065607">
      <w:pPr>
        <w:pStyle w:val="Heading4"/>
        <w:ind w:firstLine="0"/>
        <w:rPr>
          <w:rFonts w:ascii="IRBadr" w:hAnsi="IRBadr" w:cs="IRBadr"/>
          <w:rtl/>
        </w:rPr>
      </w:pPr>
      <w:bookmarkStart w:id="11" w:name="_Toc427449469"/>
      <w:r w:rsidRPr="00830D85">
        <w:rPr>
          <w:rFonts w:ascii="IRBadr" w:hAnsi="IRBadr" w:cs="IRBadr"/>
          <w:rtl/>
        </w:rPr>
        <w:t>شک در قصدیت</w:t>
      </w:r>
      <w:bookmarkEnd w:id="11"/>
    </w:p>
    <w:p w:rsidR="009E4B51" w:rsidRPr="00830D85" w:rsidRDefault="009E4B51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شک </w:t>
      </w:r>
      <w:r w:rsidR="00A23F49" w:rsidRPr="00830D85">
        <w:rPr>
          <w:rFonts w:ascii="IRBadr" w:hAnsi="IRBadr" w:cs="IRBadr"/>
          <w:sz w:val="28"/>
          <w:szCs w:val="28"/>
          <w:rtl/>
          <w:lang w:bidi="fa-IR"/>
        </w:rPr>
        <w:t>کنیم که اینجا قصد است یا نیست؟</w:t>
      </w:r>
    </w:p>
    <w:p w:rsidR="009E4B51" w:rsidRPr="00830D85" w:rsidRDefault="00A23F49" w:rsidP="00830D8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>اصل عقلایی این است که قصد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 xml:space="preserve"> موجود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است، اصل عقلایی این است که اشخاص قاصدون فی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کلامهم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 xml:space="preserve">هستند 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الا اینکه اثبات بشود که اینجا قصدی 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 xml:space="preserve">موجود 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نبوده است. 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 xml:space="preserve">لذا 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>گاهی می‌شود</w:t>
      </w:r>
      <w:r w:rsid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30D85">
        <w:rPr>
          <w:rFonts w:ascii="IRBadr" w:hAnsi="IRBadr" w:cs="IRBadr" w:hint="cs"/>
          <w:sz w:val="28"/>
          <w:szCs w:val="28"/>
          <w:rtl/>
          <w:lang w:bidi="fa-IR"/>
        </w:rPr>
        <w:t>س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>ب</w:t>
      </w:r>
      <w:r w:rsidR="00830D85">
        <w:rPr>
          <w:rFonts w:ascii="IRBadr" w:hAnsi="IRBadr" w:cs="IRBadr" w:hint="cs"/>
          <w:sz w:val="28"/>
          <w:szCs w:val="28"/>
          <w:rtl/>
          <w:lang w:bidi="fa-IR"/>
        </w:rPr>
        <w:t>ق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 xml:space="preserve"> لسانی رخ 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 xml:space="preserve"> با قرائنی مشخص 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9E4B51" w:rsidRPr="00830D85">
        <w:rPr>
          <w:rFonts w:ascii="IRBadr" w:hAnsi="IRBadr" w:cs="IRBadr"/>
          <w:sz w:val="28"/>
          <w:szCs w:val="28"/>
          <w:rtl/>
          <w:lang w:bidi="fa-IR"/>
        </w:rPr>
        <w:t xml:space="preserve"> که در آنجا قصدی وجود نداشته است.</w:t>
      </w:r>
    </w:p>
    <w:p w:rsidR="009E4B51" w:rsidRPr="00830D85" w:rsidRDefault="009E4B51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پس </w:t>
      </w:r>
      <w:r w:rsidR="00A23F49" w:rsidRPr="00830D85">
        <w:rPr>
          <w:rFonts w:ascii="IRBadr" w:hAnsi="IRBadr" w:cs="IRBadr"/>
          <w:sz w:val="28"/>
          <w:szCs w:val="28"/>
          <w:rtl/>
          <w:lang w:bidi="fa-IR"/>
        </w:rPr>
        <w:t>این اصل پشتوانه محاورات عقلایی و استظهاراتی است که ما از اقوال داریم.</w:t>
      </w:r>
    </w:p>
    <w:p w:rsidR="009E4B51" w:rsidRPr="00830D85" w:rsidRDefault="009E4B51" w:rsidP="00065607">
      <w:pPr>
        <w:pStyle w:val="Heading4"/>
        <w:ind w:firstLine="0"/>
        <w:rPr>
          <w:rFonts w:ascii="IRBadr" w:hAnsi="IRBadr" w:cs="IRBadr"/>
          <w:rtl/>
        </w:rPr>
      </w:pPr>
      <w:bookmarkStart w:id="12" w:name="_Toc427449470"/>
      <w:r w:rsidRPr="00830D85">
        <w:rPr>
          <w:rFonts w:ascii="IRBadr" w:hAnsi="IRBadr" w:cs="IRBadr"/>
          <w:rtl/>
        </w:rPr>
        <w:t>کیفیت قتل</w:t>
      </w:r>
      <w:bookmarkEnd w:id="12"/>
    </w:p>
    <w:p w:rsidR="009E4B51" w:rsidRPr="00830D85" w:rsidRDefault="009E4B51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>فرع دیگری که چندان اهمیت ندارد،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کیفیت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قتل است،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ظاهر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امر این بوده که در اینجا در نوع قتل فرقی وجود ندارد و روایات به نحوی مطلق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باید توجه داشت که عرفیت قتل حفظ شود و عقوبت یا شکنجه </w:t>
      </w:r>
      <w:r w:rsidR="00065607" w:rsidRPr="00830D85">
        <w:rPr>
          <w:rFonts w:ascii="IRBadr" w:hAnsi="IRBadr" w:cs="IRBadr"/>
          <w:sz w:val="28"/>
          <w:szCs w:val="28"/>
          <w:rtl/>
          <w:lang w:bidi="fa-IR"/>
        </w:rPr>
        <w:t>زائده‌ای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بر فرد اعمال نشود.</w:t>
      </w:r>
    </w:p>
    <w:p w:rsidR="009E4B51" w:rsidRPr="00830D85" w:rsidRDefault="00DA2F73" w:rsidP="00065607">
      <w:pPr>
        <w:pStyle w:val="Heading4"/>
        <w:ind w:firstLine="0"/>
        <w:rPr>
          <w:rFonts w:ascii="IRBadr" w:hAnsi="IRBadr" w:cs="IRBadr"/>
          <w:rtl/>
        </w:rPr>
      </w:pPr>
      <w:bookmarkStart w:id="13" w:name="_Toc427449471"/>
      <w:r w:rsidRPr="00830D85">
        <w:rPr>
          <w:rFonts w:ascii="IRBadr" w:hAnsi="IRBadr" w:cs="IRBadr"/>
          <w:rtl/>
        </w:rPr>
        <w:lastRenderedPageBreak/>
        <w:t>شرط عدم خوف</w:t>
      </w:r>
      <w:bookmarkEnd w:id="13"/>
    </w:p>
    <w:p w:rsidR="00DA2F73" w:rsidRPr="00830D85" w:rsidRDefault="00DA2F73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>شکی نیست که این حکم مشروط به عدم خوف است،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در دایره و دامنه آن اختلافاتی وجود دارد.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روایاتی که در این زمینه بدان پرداخته است،</w:t>
      </w:r>
      <w:r w:rsidR="00682DF0" w:rsidRPr="00830D8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بوده که؛</w:t>
      </w:r>
    </w:p>
    <w:p w:rsidR="00A85F7C" w:rsidRPr="00830D85" w:rsidRDefault="00A85F7C" w:rsidP="00065607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عَنْ حَمَّادِ بْنِ عِ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رِبْعِ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مُحَمَّدِ بْنِ مُسْلِمٍ عَنْ أَبِ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قَالَ: إِنَّ رَجُلًا مِنْ هُذَ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لٍ 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انَ 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سُبُّ رَسُولَ اللَّهِ ص فَبَلَغَ ذَلِ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النَّبِ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ص فَقَالَ مَنْ لِهَذَا فَقَامَ رَجُلَانِ مِنَ الْأَنْصَارِ فَقَالا نَحْنُ 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رَسُولَ اللَّهِ فَانْطَلَقَا حَتَّ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أَتَ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 عَرَبَةَ فَسَأَلَا عَنْهُ فَإِذَا هُوَ 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تَلَقَّ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غَنَمَهُ فَلَحِقَاهُ بَ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أَهْلِهِ وَ غَنَمِهِ فَلَمْ 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سَلِّمَا عَلَ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فَقَالَ مَنْ أَنْتُمَا وَ مَا اسْمُ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مَا فَقَالا لَهُ أَنْتَ فُلَانُ بْنُ فُلَانٍ فَقَالَ نَعَمْ فَنَزَلَا وَ ضَرَبَا عُنُقَهُ قَالَ مُحَمَّدُ بْنُ مُسْلِمٍ فَقُلْتُ لِأَبِ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أَ رَأَ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 لَوْ أَنَّ رَجُلًا الْآنَ سَبَّ النَّبِ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ص أَ 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قْتَلُ قَالَ إِنْ لَمْ تَخَفْ عَلَ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نَفْسِ</w:t>
      </w:r>
      <w:r w:rsidR="00682DF0"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830D8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فَاقْتُلْهُ.»</w:t>
      </w:r>
      <w:r w:rsidRPr="00830D8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DA2F73" w:rsidRPr="00830D85" w:rsidRDefault="00A23F49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یعنی بله این حد ثابت است منتها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وقتی‌که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خوف بر نفس خودت نداشته باشی.</w:t>
      </w:r>
    </w:p>
    <w:p w:rsidR="00DA2F73" w:rsidRPr="00830D85" w:rsidRDefault="00DA2F73" w:rsidP="00065607">
      <w:pPr>
        <w:pStyle w:val="Heading4"/>
        <w:ind w:firstLine="0"/>
        <w:rPr>
          <w:rFonts w:ascii="IRBadr" w:hAnsi="IRBadr" w:cs="IRBadr"/>
          <w:rtl/>
        </w:rPr>
      </w:pPr>
      <w:bookmarkStart w:id="14" w:name="_Toc427449472"/>
      <w:r w:rsidRPr="00830D85">
        <w:rPr>
          <w:rFonts w:ascii="IRBadr" w:hAnsi="IRBadr" w:cs="IRBadr"/>
          <w:rtl/>
        </w:rPr>
        <w:t>روایت دوم</w:t>
      </w:r>
      <w:bookmarkEnd w:id="14"/>
    </w:p>
    <w:p w:rsidR="00DA2F73" w:rsidRPr="00830D85" w:rsidRDefault="00DA2F73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روایت دیگری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خوف وجود دارد که روایت پنجم باب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بیست‌وهفت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DA2F73" w:rsidRPr="00830D85" w:rsidRDefault="00DA2F73" w:rsidP="000656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30D85">
        <w:rPr>
          <w:rFonts w:ascii="IRBadr" w:hAnsi="IRBadr" w:cs="IRBadr"/>
          <w:sz w:val="28"/>
          <w:szCs w:val="28"/>
          <w:rtl/>
          <w:lang w:bidi="fa-IR"/>
        </w:rPr>
        <w:t xml:space="preserve">فرموده شده؛ </w:t>
      </w:r>
      <w:r w:rsidR="00A23F49" w:rsidRPr="00830D85">
        <w:rPr>
          <w:rFonts w:ascii="IRBadr" w:hAnsi="IRBadr" w:cs="IRBadr"/>
          <w:sz w:val="28"/>
          <w:szCs w:val="28"/>
          <w:rtl/>
          <w:lang w:bidi="fa-IR"/>
        </w:rPr>
        <w:t xml:space="preserve">حلال است، مگر اینکه موجب این بشود که </w:t>
      </w:r>
      <w:r w:rsidRPr="00830D85">
        <w:rPr>
          <w:rFonts w:ascii="IRBadr" w:hAnsi="IRBadr" w:cs="IRBadr"/>
          <w:sz w:val="28"/>
          <w:szCs w:val="28"/>
          <w:rtl/>
          <w:lang w:bidi="fa-IR"/>
        </w:rPr>
        <w:t>فرد</w:t>
      </w:r>
      <w:r w:rsidR="00A23F49"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بی‌گناهی</w:t>
      </w:r>
      <w:r w:rsidR="00A23F49" w:rsidRPr="00830D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84C65" w:rsidRPr="00830D85">
        <w:rPr>
          <w:rFonts w:ascii="IRBadr" w:hAnsi="IRBadr" w:cs="IRBadr"/>
          <w:sz w:val="28"/>
          <w:szCs w:val="28"/>
          <w:rtl/>
          <w:lang w:bidi="fa-IR"/>
        </w:rPr>
        <w:t>درخطر</w:t>
      </w:r>
      <w:r w:rsidR="00A23F49" w:rsidRPr="00830D85">
        <w:rPr>
          <w:rFonts w:ascii="IRBadr" w:hAnsi="IRBadr" w:cs="IRBadr"/>
          <w:sz w:val="28"/>
          <w:szCs w:val="28"/>
          <w:rtl/>
          <w:lang w:bidi="fa-IR"/>
        </w:rPr>
        <w:t xml:space="preserve"> بیفتد. یعنی با کشتن تو دیگری به خطر بیفتد.</w:t>
      </w:r>
    </w:p>
    <w:p w:rsidR="00152670" w:rsidRPr="00830D85" w:rsidRDefault="00152670" w:rsidP="00065607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830D85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870" w:rsidRDefault="000D4870" w:rsidP="000D5800">
      <w:pPr>
        <w:spacing w:after="0" w:line="240" w:lineRule="auto"/>
      </w:pPr>
      <w:r>
        <w:separator/>
      </w:r>
    </w:p>
  </w:endnote>
  <w:endnote w:type="continuationSeparator" w:id="0">
    <w:p w:rsidR="000D4870" w:rsidRDefault="000D4870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Times New Roman"/>
    <w:charset w:val="00"/>
    <w:family w:val="auto"/>
    <w:pitch w:val="variable"/>
    <w:sig w:usb0="00000000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DF0" w:rsidRDefault="00682D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1569042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5607" w:rsidRDefault="0006560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0D8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82DF0" w:rsidRDefault="00682D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DF0" w:rsidRDefault="00682D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870" w:rsidRDefault="000D4870" w:rsidP="00065607">
      <w:pPr>
        <w:bidi/>
        <w:spacing w:after="0" w:line="240" w:lineRule="auto"/>
      </w:pPr>
      <w:r>
        <w:separator/>
      </w:r>
    </w:p>
  </w:footnote>
  <w:footnote w:type="continuationSeparator" w:id="0">
    <w:p w:rsidR="000D4870" w:rsidRDefault="000D4870" w:rsidP="000D5800">
      <w:pPr>
        <w:spacing w:after="0" w:line="240" w:lineRule="auto"/>
      </w:pPr>
      <w:r>
        <w:continuationSeparator/>
      </w:r>
    </w:p>
  </w:footnote>
  <w:footnote w:id="1">
    <w:p w:rsidR="00A85F7C" w:rsidRDefault="00A85F7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85F7C">
        <w:rPr>
          <w:rFonts w:ascii="Noor_Titr" w:hAnsi="Noor_Titr" w:cs="B Badr" w:hint="cs"/>
          <w:color w:val="000000" w:themeColor="text1"/>
          <w:rtl/>
        </w:rPr>
        <w:t>ال</w:t>
      </w:r>
      <w:r w:rsidR="00682DF0">
        <w:rPr>
          <w:rFonts w:ascii="Noor_Titr" w:hAnsi="Noor_Titr" w:cs="B Badr" w:hint="cs"/>
          <w:color w:val="000000" w:themeColor="text1"/>
          <w:rtl/>
        </w:rPr>
        <w:t>ک</w:t>
      </w:r>
      <w:r w:rsidRPr="00A85F7C">
        <w:rPr>
          <w:rFonts w:ascii="Noor_Titr" w:hAnsi="Noor_Titr" w:cs="B Badr" w:hint="cs"/>
          <w:color w:val="000000" w:themeColor="text1"/>
          <w:rtl/>
        </w:rPr>
        <w:t>اف</w:t>
      </w:r>
      <w:r w:rsidR="00682DF0">
        <w:rPr>
          <w:rFonts w:ascii="Noor_Titr" w:hAnsi="Noor_Titr" w:cs="B Badr" w:hint="cs"/>
          <w:color w:val="000000" w:themeColor="text1"/>
          <w:rtl/>
        </w:rPr>
        <w:t>ی</w:t>
      </w:r>
      <w:r w:rsidRPr="00A85F7C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682DF0">
        <w:rPr>
          <w:rFonts w:ascii="Noor_Titr" w:hAnsi="Noor_Titr" w:cs="B Badr" w:hint="cs"/>
          <w:color w:val="000000" w:themeColor="text1"/>
          <w:rtl/>
        </w:rPr>
        <w:t>ی</w:t>
      </w:r>
      <w:r w:rsidRPr="00A85F7C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682DF0">
        <w:rPr>
          <w:rFonts w:ascii="Noor_Titr" w:hAnsi="Noor_Titr" w:cs="B Badr"/>
          <w:color w:val="000000" w:themeColor="text1"/>
          <w:rtl/>
        </w:rPr>
        <w:t>ج 7</w:t>
      </w:r>
      <w:r w:rsidRPr="00A85F7C">
        <w:rPr>
          <w:rFonts w:ascii="Noor_Titr" w:hAnsi="Noor_Titr" w:cs="B Badr" w:hint="cs"/>
          <w:color w:val="000000" w:themeColor="text1"/>
          <w:rtl/>
        </w:rPr>
        <w:t>، ص: 259</w:t>
      </w:r>
    </w:p>
  </w:footnote>
  <w:footnote w:id="2">
    <w:p w:rsidR="00A85F7C" w:rsidRDefault="00A85F7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85F7C">
        <w:rPr>
          <w:rFonts w:ascii="Noor_Titr" w:hAnsi="Noor_Titr" w:cs="B Badr" w:hint="cs"/>
          <w:color w:val="000000" w:themeColor="text1"/>
          <w:rtl/>
        </w:rPr>
        <w:t>تهذ</w:t>
      </w:r>
      <w:r w:rsidR="00682DF0">
        <w:rPr>
          <w:rFonts w:ascii="Noor_Titr" w:hAnsi="Noor_Titr" w:cs="B Badr" w:hint="cs"/>
          <w:color w:val="000000" w:themeColor="text1"/>
          <w:rtl/>
        </w:rPr>
        <w:t>ی</w:t>
      </w:r>
      <w:r w:rsidRPr="00A85F7C">
        <w:rPr>
          <w:rFonts w:ascii="Noor_Titr" w:hAnsi="Noor_Titr" w:cs="B Badr" w:hint="cs"/>
          <w:color w:val="000000" w:themeColor="text1"/>
          <w:rtl/>
        </w:rPr>
        <w:t>ب الأح</w:t>
      </w:r>
      <w:r w:rsidR="00682DF0">
        <w:rPr>
          <w:rFonts w:ascii="Noor_Titr" w:hAnsi="Noor_Titr" w:cs="B Badr" w:hint="cs"/>
          <w:color w:val="000000" w:themeColor="text1"/>
          <w:rtl/>
        </w:rPr>
        <w:t>ک</w:t>
      </w:r>
      <w:r w:rsidRPr="00A85F7C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682DF0">
        <w:rPr>
          <w:rFonts w:ascii="Noor_Titr" w:hAnsi="Noor_Titr" w:cs="B Badr"/>
          <w:color w:val="000000" w:themeColor="text1"/>
          <w:rtl/>
        </w:rPr>
        <w:t>ج 6</w:t>
      </w:r>
      <w:r w:rsidRPr="00A85F7C">
        <w:rPr>
          <w:rFonts w:ascii="Noor_Titr" w:hAnsi="Noor_Titr" w:cs="B Badr" w:hint="cs"/>
          <w:color w:val="000000" w:themeColor="text1"/>
          <w:rtl/>
        </w:rPr>
        <w:t>، ص: 314</w:t>
      </w:r>
    </w:p>
  </w:footnote>
  <w:footnote w:id="3">
    <w:p w:rsidR="00A85F7C" w:rsidRDefault="00A85F7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85F7C">
        <w:rPr>
          <w:rFonts w:ascii="Noor_Titr" w:hAnsi="Noor_Titr" w:cs="B Badr" w:hint="cs"/>
          <w:color w:val="000000" w:themeColor="text1"/>
          <w:rtl/>
        </w:rPr>
        <w:t>ال</w:t>
      </w:r>
      <w:r w:rsidR="00682DF0">
        <w:rPr>
          <w:rFonts w:ascii="Noor_Titr" w:hAnsi="Noor_Titr" w:cs="B Badr" w:hint="cs"/>
          <w:color w:val="000000" w:themeColor="text1"/>
          <w:rtl/>
        </w:rPr>
        <w:t>ک</w:t>
      </w:r>
      <w:r w:rsidRPr="00A85F7C">
        <w:rPr>
          <w:rFonts w:ascii="Noor_Titr" w:hAnsi="Noor_Titr" w:cs="B Badr" w:hint="cs"/>
          <w:color w:val="000000" w:themeColor="text1"/>
          <w:rtl/>
        </w:rPr>
        <w:t>اف</w:t>
      </w:r>
      <w:r w:rsidR="00682DF0">
        <w:rPr>
          <w:rFonts w:ascii="Noor_Titr" w:hAnsi="Noor_Titr" w:cs="B Badr" w:hint="cs"/>
          <w:color w:val="000000" w:themeColor="text1"/>
          <w:rtl/>
        </w:rPr>
        <w:t>ی</w:t>
      </w:r>
      <w:r w:rsidRPr="00A85F7C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682DF0">
        <w:rPr>
          <w:rFonts w:ascii="Noor_Titr" w:hAnsi="Noor_Titr" w:cs="B Badr" w:hint="cs"/>
          <w:color w:val="000000" w:themeColor="text1"/>
          <w:rtl/>
        </w:rPr>
        <w:t>ی</w:t>
      </w:r>
      <w:r w:rsidRPr="00A85F7C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682DF0">
        <w:rPr>
          <w:rFonts w:ascii="Noor_Titr" w:hAnsi="Noor_Titr" w:cs="B Badr"/>
          <w:color w:val="000000" w:themeColor="text1"/>
          <w:rtl/>
        </w:rPr>
        <w:t>ج 2</w:t>
      </w:r>
      <w:r w:rsidRPr="00A85F7C">
        <w:rPr>
          <w:rFonts w:ascii="Noor_Titr" w:hAnsi="Noor_Titr" w:cs="B Badr" w:hint="cs"/>
          <w:color w:val="000000" w:themeColor="text1"/>
          <w:rtl/>
        </w:rPr>
        <w:t>، ص: 379</w:t>
      </w:r>
    </w:p>
  </w:footnote>
  <w:footnote w:id="4">
    <w:p w:rsidR="00A85F7C" w:rsidRDefault="00A85F7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85F7C">
        <w:rPr>
          <w:rFonts w:ascii="Noor_Titr" w:hAnsi="Noor_Titr" w:cs="B Badr" w:hint="cs"/>
          <w:color w:val="000000" w:themeColor="text1"/>
          <w:rtl/>
        </w:rPr>
        <w:t>ال</w:t>
      </w:r>
      <w:r w:rsidR="00682DF0">
        <w:rPr>
          <w:rFonts w:ascii="Noor_Titr" w:hAnsi="Noor_Titr" w:cs="B Badr" w:hint="cs"/>
          <w:color w:val="000000" w:themeColor="text1"/>
          <w:rtl/>
        </w:rPr>
        <w:t>ک</w:t>
      </w:r>
      <w:r w:rsidRPr="00A85F7C">
        <w:rPr>
          <w:rFonts w:ascii="Noor_Titr" w:hAnsi="Noor_Titr" w:cs="B Badr" w:hint="cs"/>
          <w:color w:val="000000" w:themeColor="text1"/>
          <w:rtl/>
        </w:rPr>
        <w:t>اف</w:t>
      </w:r>
      <w:r w:rsidR="00682DF0">
        <w:rPr>
          <w:rFonts w:ascii="Noor_Titr" w:hAnsi="Noor_Titr" w:cs="B Badr" w:hint="cs"/>
          <w:color w:val="000000" w:themeColor="text1"/>
          <w:rtl/>
        </w:rPr>
        <w:t>ی</w:t>
      </w:r>
      <w:r w:rsidRPr="00A85F7C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682DF0">
        <w:rPr>
          <w:rFonts w:ascii="Noor_Titr" w:hAnsi="Noor_Titr" w:cs="B Badr" w:hint="cs"/>
          <w:color w:val="000000" w:themeColor="text1"/>
          <w:rtl/>
        </w:rPr>
        <w:t>ی</w:t>
      </w:r>
      <w:r w:rsidRPr="00A85F7C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682DF0">
        <w:rPr>
          <w:rFonts w:ascii="Noor_Titr" w:hAnsi="Noor_Titr" w:cs="B Badr"/>
          <w:color w:val="000000" w:themeColor="text1"/>
          <w:rtl/>
        </w:rPr>
        <w:t>ج 7</w:t>
      </w:r>
      <w:r w:rsidRPr="00A85F7C">
        <w:rPr>
          <w:rFonts w:ascii="Noor_Titr" w:hAnsi="Noor_Titr" w:cs="B Badr" w:hint="cs"/>
          <w:color w:val="000000" w:themeColor="text1"/>
          <w:rtl/>
        </w:rPr>
        <w:t>، ص: 267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DF0" w:rsidRDefault="00682D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A23F49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363EC6B" wp14:editId="3B71A0B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EC33585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  <w:lang w:bidi="fa-IR"/>
      </w:rPr>
      <w:drawing>
        <wp:inline distT="0" distB="0" distL="0" distR="0" wp14:anchorId="11301A4D" wp14:editId="7D6DB2D1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682DF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A23F49">
      <w:rPr>
        <w:rFonts w:ascii="IranNastaliq" w:hAnsi="IranNastaliq" w:cs="IranNastaliq" w:hint="cs"/>
        <w:sz w:val="40"/>
        <w:szCs w:val="40"/>
        <w:rtl/>
      </w:rPr>
      <w:t>815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DF0" w:rsidRDefault="00682D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F49"/>
    <w:rsid w:val="000228A2"/>
    <w:rsid w:val="000324F1"/>
    <w:rsid w:val="00041FE0"/>
    <w:rsid w:val="00052BA3"/>
    <w:rsid w:val="0006363E"/>
    <w:rsid w:val="00065607"/>
    <w:rsid w:val="00080DFF"/>
    <w:rsid w:val="00085ED5"/>
    <w:rsid w:val="000A1A51"/>
    <w:rsid w:val="000D2D0D"/>
    <w:rsid w:val="000D4870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69A6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4682E"/>
    <w:rsid w:val="002529C5"/>
    <w:rsid w:val="00266638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2D4E"/>
    <w:rsid w:val="0044591E"/>
    <w:rsid w:val="004651D2"/>
    <w:rsid w:val="00465D26"/>
    <w:rsid w:val="004679F8"/>
    <w:rsid w:val="004B337F"/>
    <w:rsid w:val="004F3596"/>
    <w:rsid w:val="00546213"/>
    <w:rsid w:val="00572E2D"/>
    <w:rsid w:val="00592103"/>
    <w:rsid w:val="005941DD"/>
    <w:rsid w:val="005A02E6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64337"/>
    <w:rsid w:val="00682DF0"/>
    <w:rsid w:val="0069696C"/>
    <w:rsid w:val="006A085A"/>
    <w:rsid w:val="006D3A87"/>
    <w:rsid w:val="006F01B4"/>
    <w:rsid w:val="00734D59"/>
    <w:rsid w:val="0073609B"/>
    <w:rsid w:val="00752745"/>
    <w:rsid w:val="00760FFE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30D85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77139"/>
    <w:rsid w:val="00980643"/>
    <w:rsid w:val="009B46BC"/>
    <w:rsid w:val="009B61C3"/>
    <w:rsid w:val="009C7B4F"/>
    <w:rsid w:val="009E4B51"/>
    <w:rsid w:val="009F4EB3"/>
    <w:rsid w:val="00A00B3A"/>
    <w:rsid w:val="00A06D48"/>
    <w:rsid w:val="00A21834"/>
    <w:rsid w:val="00A23F49"/>
    <w:rsid w:val="00A31C17"/>
    <w:rsid w:val="00A31FDE"/>
    <w:rsid w:val="00A35AC2"/>
    <w:rsid w:val="00A37C77"/>
    <w:rsid w:val="00A5418D"/>
    <w:rsid w:val="00A725C2"/>
    <w:rsid w:val="00A769EE"/>
    <w:rsid w:val="00A80E99"/>
    <w:rsid w:val="00A810A5"/>
    <w:rsid w:val="00A85F7C"/>
    <w:rsid w:val="00A9616A"/>
    <w:rsid w:val="00A96F68"/>
    <w:rsid w:val="00AA2342"/>
    <w:rsid w:val="00AD0304"/>
    <w:rsid w:val="00AD27BE"/>
    <w:rsid w:val="00AF0F1A"/>
    <w:rsid w:val="00B1260D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16B5A"/>
    <w:rsid w:val="00C22299"/>
    <w:rsid w:val="00C25609"/>
    <w:rsid w:val="00C262D7"/>
    <w:rsid w:val="00C26607"/>
    <w:rsid w:val="00C60D75"/>
    <w:rsid w:val="00C64CEA"/>
    <w:rsid w:val="00C73012"/>
    <w:rsid w:val="00C763DD"/>
    <w:rsid w:val="00C84C65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A2F73"/>
    <w:rsid w:val="00DB28BB"/>
    <w:rsid w:val="00DC603F"/>
    <w:rsid w:val="00DD3C0D"/>
    <w:rsid w:val="00DD4864"/>
    <w:rsid w:val="00DD71A2"/>
    <w:rsid w:val="00DE1DC4"/>
    <w:rsid w:val="00DF373D"/>
    <w:rsid w:val="00E0639C"/>
    <w:rsid w:val="00E067E6"/>
    <w:rsid w:val="00E12531"/>
    <w:rsid w:val="00E143B0"/>
    <w:rsid w:val="00E55891"/>
    <w:rsid w:val="00E6283A"/>
    <w:rsid w:val="00E65823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E6E7D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23F4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85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A85F7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23F4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85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A85F7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7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3A0D3-B4B3-4918-A40A-12BEAF48D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150</TotalTime>
  <Pages>5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16</cp:revision>
  <dcterms:created xsi:type="dcterms:W3CDTF">2014-12-22T04:04:00Z</dcterms:created>
  <dcterms:modified xsi:type="dcterms:W3CDTF">2015-07-27T21:38:00Z</dcterms:modified>
</cp:coreProperties>
</file>